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B46" w:rsidRDefault="006C028B">
      <w:pPr>
        <w:jc w:val="center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>ТЕХНИЧЕСКА СПЕЦИФИКАЦИЯ</w:t>
      </w:r>
    </w:p>
    <w:p w:rsidR="00881B46" w:rsidRDefault="006C028B">
      <w:pPr>
        <w:jc w:val="center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</w:rPr>
        <w:t xml:space="preserve">за доставка по проект: “Съвместно управление на риска и партньорство в граничния регион </w:t>
      </w:r>
      <w:r>
        <w:rPr>
          <w:rFonts w:ascii="Trebuchet MS" w:hAnsi="Trebuchet MS" w:cs="Times New Roman"/>
          <w:bCs/>
        </w:rPr>
        <w:t>Кълъраш-Добрич</w:t>
      </w:r>
      <w:bookmarkStart w:id="0" w:name="_GoBack"/>
      <w:bookmarkEnd w:id="0"/>
      <w:r>
        <w:rPr>
          <w:rFonts w:ascii="Trebuchet MS" w:hAnsi="Trebuchet MS" w:cs="Times New Roman"/>
        </w:rPr>
        <w:t xml:space="preserve">” </w:t>
      </w:r>
      <w:r>
        <w:rPr>
          <w:rFonts w:ascii="Trebuchet MS" w:hAnsi="Trebuchet MS" w:cs="Times New Roman"/>
          <w:b/>
        </w:rPr>
        <w:t>– JORIMA</w:t>
      </w:r>
    </w:p>
    <w:p w:rsidR="00881B46" w:rsidRDefault="006C028B">
      <w:pPr>
        <w:jc w:val="both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 xml:space="preserve">Обособена позиция №5: „Доставка на </w:t>
      </w:r>
      <w:r>
        <w:rPr>
          <w:rFonts w:ascii="Trebuchet MS" w:hAnsi="Trebuchet MS" w:cs="Times New Roman"/>
          <w:b/>
        </w:rPr>
        <w:t>високопроходими автомобили“</w:t>
      </w:r>
    </w:p>
    <w:p w:rsidR="00881B46" w:rsidRDefault="006C028B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lang w:eastAsia="bg-BG"/>
        </w:rPr>
      </w:pPr>
      <w:r>
        <w:rPr>
          <w:rFonts w:ascii="Trebuchet MS" w:eastAsia="Times New Roman" w:hAnsi="Trebuchet MS" w:cs="Times New Roman"/>
        </w:rPr>
        <w:t xml:space="preserve">Настоящите  технически спецификации определят  минималните изисквания  за изпълнение на обществената поръчка. Участниците могат да представят по-добри технически параметри в техническото си предложение. </w:t>
      </w:r>
      <w:r>
        <w:rPr>
          <w:rFonts w:ascii="Trebuchet MS" w:eastAsia="Times New Roman" w:hAnsi="Trebuchet MS" w:cs="Times New Roman"/>
          <w:lang w:eastAsia="bg-BG"/>
        </w:rPr>
        <w:t>Неспазването на минимални</w:t>
      </w:r>
      <w:r>
        <w:rPr>
          <w:rFonts w:ascii="Trebuchet MS" w:eastAsia="Times New Roman" w:hAnsi="Trebuchet MS" w:cs="Times New Roman"/>
          <w:lang w:eastAsia="bg-BG"/>
        </w:rPr>
        <w:t xml:space="preserve">те изисквания на Възложителя води до отстраняване на участника от процедурата. За всеки конкретно посочен в настоящите технически спецификации стандарт, спецификация, техническо одобрение или друга техническа референция, Възложителят приема и </w:t>
      </w:r>
      <w:r>
        <w:rPr>
          <w:rFonts w:ascii="Trebuchet MS" w:eastAsia="Times New Roman" w:hAnsi="Trebuchet MS" w:cs="Times New Roman"/>
          <w:b/>
          <w:bCs/>
          <w:lang w:eastAsia="bg-BG"/>
        </w:rPr>
        <w:t>еквивалентни</w:t>
      </w:r>
      <w:r>
        <w:rPr>
          <w:rFonts w:ascii="Trebuchet MS" w:eastAsia="Times New Roman" w:hAnsi="Trebuchet MS" w:cs="Times New Roman"/>
          <w:lang w:eastAsia="bg-BG"/>
        </w:rPr>
        <w:t xml:space="preserve"> </w:t>
      </w:r>
      <w:r>
        <w:rPr>
          <w:rFonts w:ascii="Trebuchet MS" w:eastAsia="Times New Roman" w:hAnsi="Trebuchet MS" w:cs="Times New Roman"/>
          <w:lang w:eastAsia="bg-BG"/>
        </w:rPr>
        <w:t xml:space="preserve">такива. За всеки посочен в настоящите технически спецификации конкретен модел, източник, процес, търговска марка, патент, тип, произход или производство, Възложителят приема и </w:t>
      </w:r>
      <w:r>
        <w:rPr>
          <w:rFonts w:ascii="Trebuchet MS" w:eastAsia="Times New Roman" w:hAnsi="Trebuchet MS" w:cs="Times New Roman"/>
          <w:b/>
          <w:bCs/>
          <w:lang w:eastAsia="bg-BG"/>
        </w:rPr>
        <w:t>еквивалентни</w:t>
      </w:r>
      <w:r>
        <w:rPr>
          <w:rFonts w:ascii="Trebuchet MS" w:eastAsia="Times New Roman" w:hAnsi="Trebuchet MS" w:cs="Times New Roman"/>
          <w:lang w:eastAsia="bg-BG"/>
        </w:rPr>
        <w:t xml:space="preserve"> такива. </w:t>
      </w:r>
    </w:p>
    <w:p w:rsidR="00881B46" w:rsidRDefault="006C028B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lang w:eastAsia="bg-BG"/>
        </w:rPr>
      </w:pPr>
      <w:r>
        <w:rPr>
          <w:rFonts w:ascii="Trebuchet MS" w:eastAsia="Times New Roman" w:hAnsi="Trebuchet MS" w:cs="Times New Roman"/>
          <w:lang w:eastAsia="bg-BG"/>
        </w:rPr>
        <w:t>Настоящите технически спецификации се отнасят за нови (неу</w:t>
      </w:r>
      <w:r>
        <w:rPr>
          <w:rFonts w:ascii="Trebuchet MS" w:eastAsia="Times New Roman" w:hAnsi="Trebuchet MS" w:cs="Times New Roman"/>
          <w:lang w:eastAsia="bg-BG"/>
        </w:rPr>
        <w:t>потребявани) автомобили и оборудване, като при изготвянето им са съобразени разпоредбите на чл.47, ал.6, т.1 във връзка с ал.5 ЗОП, както и императивните изисквания на Глава шеста, Раздел II ЗОП.</w:t>
      </w:r>
    </w:p>
    <w:p w:rsidR="00881B46" w:rsidRDefault="00881B46">
      <w:pPr>
        <w:jc w:val="both"/>
        <w:rPr>
          <w:rFonts w:ascii="Trebuchet MS" w:hAnsi="Trebuchet MS" w:cs="Times New Roman"/>
          <w:b/>
        </w:rPr>
      </w:pPr>
    </w:p>
    <w:tbl>
      <w:tblPr>
        <w:tblStyle w:val="a3"/>
        <w:tblW w:w="9214" w:type="dxa"/>
        <w:tblInd w:w="-5" w:type="dxa"/>
        <w:tblLook w:val="04A0" w:firstRow="1" w:lastRow="0" w:firstColumn="1" w:lastColumn="0" w:noHBand="0" w:noVBand="1"/>
      </w:tblPr>
      <w:tblGrid>
        <w:gridCol w:w="709"/>
        <w:gridCol w:w="2835"/>
        <w:gridCol w:w="1418"/>
        <w:gridCol w:w="4252"/>
      </w:tblGrid>
      <w:tr w:rsidR="00881B46">
        <w:tc>
          <w:tcPr>
            <w:tcW w:w="709" w:type="dxa"/>
            <w:shd w:val="clear" w:color="auto" w:fill="D9D9D9" w:themeFill="background1" w:themeFillShade="D9"/>
          </w:tcPr>
          <w:p w:rsidR="00881B46" w:rsidRDefault="006C028B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№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881B46" w:rsidRDefault="006C028B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Наименование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881B46" w:rsidRDefault="006C028B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Количество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:rsidR="00881B46" w:rsidRDefault="006C028B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Минимални изисквания</w:t>
            </w:r>
          </w:p>
        </w:tc>
      </w:tr>
      <w:tr w:rsidR="00881B46">
        <w:trPr>
          <w:trHeight w:val="699"/>
        </w:trPr>
        <w:tc>
          <w:tcPr>
            <w:tcW w:w="709" w:type="dxa"/>
          </w:tcPr>
          <w:p w:rsidR="00881B46" w:rsidRDefault="006C028B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</w:t>
            </w:r>
          </w:p>
        </w:tc>
        <w:tc>
          <w:tcPr>
            <w:tcW w:w="2835" w:type="dxa"/>
          </w:tcPr>
          <w:p w:rsidR="00881B46" w:rsidRDefault="006C028B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Високопроходим командно-щабен автомобил SUV 4x4</w:t>
            </w:r>
          </w:p>
          <w:p w:rsidR="00881B46" w:rsidRDefault="00881B46">
            <w:pPr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418" w:type="dxa"/>
          </w:tcPr>
          <w:p w:rsidR="00881B46" w:rsidRDefault="006C028B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 бр.</w:t>
            </w: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881B46">
            <w:pPr>
              <w:rPr>
                <w:rFonts w:ascii="Trebuchet MS" w:hAnsi="Trebuchet MS" w:cs="Times New Roman"/>
              </w:rPr>
            </w:pPr>
          </w:p>
          <w:p w:rsidR="00881B46" w:rsidRDefault="006C028B">
            <w:pPr>
              <w:tabs>
                <w:tab w:val="left" w:pos="1190"/>
              </w:tabs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ab/>
            </w:r>
          </w:p>
        </w:tc>
        <w:tc>
          <w:tcPr>
            <w:tcW w:w="4252" w:type="dxa"/>
          </w:tcPr>
          <w:p w:rsidR="00881B46" w:rsidRDefault="006C028B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lastRenderedPageBreak/>
              <w:t xml:space="preserve">Тип шаси:  лек автомобил с твърд метален покрив, с багажно отделение  от минимум </w:t>
            </w:r>
            <w:r>
              <w:rPr>
                <w:rFonts w:ascii="Trebuchet MS" w:hAnsi="Trebuchet MS" w:cs="Times New Roman"/>
              </w:rPr>
              <w:t>560 до не по-малко от 1640 l.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 Брой места 4+1. Ляв волан, регулируем. Турбо-дизелов 6 цилиндров двигател с работен обем минимум 2960 cm</w:t>
            </w:r>
            <w:r>
              <w:rPr>
                <w:rFonts w:ascii="Trebuchet MS" w:eastAsia="Times New Roman" w:hAnsi="Trebuchet MS" w:cs="Times New Roman"/>
                <w:vertAlign w:val="superscript"/>
                <w:lang w:eastAsia="bg-BG"/>
              </w:rPr>
              <w:t>3</w:t>
            </w:r>
            <w:r>
              <w:rPr>
                <w:rFonts w:ascii="Trebuchet MS" w:eastAsia="Times New Roman" w:hAnsi="Trebuchet MS" w:cs="Times New Roman"/>
                <w:lang w:eastAsia="bg-BG"/>
              </w:rPr>
              <w:t>. Въртящ момент: не по малко от 580 Nm/1750 -3000 rpm. EURO VI. Разстояние между най-ниската част на автомобила (предната или задната ос) и земната по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върхност (пътен просвет) не по-малко от 200 mm. Междуосие не по-малко от 2 890 mm. Дължина  не по-малко от 4 800 mm. Широчина на купето (без огледалата) не по-малко от 1 940 mm. Височина на купето не по-малко от 1 700 mm. Минимум 8 степенна скоростна кутия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. Климатик с възможност за регулиране на </w:t>
            </w:r>
            <w:r>
              <w:rPr>
                <w:rFonts w:ascii="Trebuchet MS" w:eastAsia="Times New Roman" w:hAnsi="Trebuchet MS" w:cs="Times New Roman"/>
                <w:lang w:eastAsia="bg-BG"/>
              </w:rPr>
              <w:lastRenderedPageBreak/>
              <w:t>температурата в купето. Летни и зимни гуми. LED сини сигнали за специален режим на движение и електронна сирена.</w:t>
            </w:r>
          </w:p>
        </w:tc>
      </w:tr>
      <w:tr w:rsidR="00881B46">
        <w:trPr>
          <w:trHeight w:val="1051"/>
        </w:trPr>
        <w:tc>
          <w:tcPr>
            <w:tcW w:w="709" w:type="dxa"/>
          </w:tcPr>
          <w:p w:rsidR="00881B46" w:rsidRDefault="006C028B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lastRenderedPageBreak/>
              <w:t>2</w:t>
            </w:r>
          </w:p>
        </w:tc>
        <w:tc>
          <w:tcPr>
            <w:tcW w:w="2835" w:type="dxa"/>
          </w:tcPr>
          <w:p w:rsidR="00881B46" w:rsidRDefault="006C028B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Високопроходим автомобил 4x4</w:t>
            </w:r>
          </w:p>
          <w:p w:rsidR="00881B46" w:rsidRDefault="00881B46">
            <w:pPr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418" w:type="dxa"/>
          </w:tcPr>
          <w:p w:rsidR="00881B46" w:rsidRDefault="006C028B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 бр.</w:t>
            </w:r>
          </w:p>
        </w:tc>
        <w:tc>
          <w:tcPr>
            <w:tcW w:w="4252" w:type="dxa"/>
          </w:tcPr>
          <w:p w:rsidR="00881B46" w:rsidRDefault="006C028B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Тип шаси:  лек автомобил с твърд метален покрив. Брой места </w:t>
            </w:r>
            <w:r>
              <w:rPr>
                <w:rFonts w:ascii="Trebuchet MS" w:eastAsia="Times New Roman" w:hAnsi="Trebuchet MS" w:cs="Times New Roman"/>
                <w:lang w:eastAsia="bg-BG"/>
              </w:rPr>
              <w:t>4+1. Ляв волан. Турбо-дизелов двигател минимум 1450 cm</w:t>
            </w:r>
            <w:r>
              <w:rPr>
                <w:rFonts w:ascii="Trebuchet MS" w:eastAsia="Times New Roman" w:hAnsi="Trebuchet MS" w:cs="Times New Roman"/>
                <w:vertAlign w:val="superscript"/>
                <w:lang w:eastAsia="bg-BG"/>
              </w:rPr>
              <w:t>3</w:t>
            </w:r>
            <w:r>
              <w:rPr>
                <w:rFonts w:ascii="Trebuchet MS" w:eastAsia="Times New Roman" w:hAnsi="Trebuchet MS" w:cs="Times New Roman"/>
                <w:lang w:eastAsia="bg-BG"/>
              </w:rPr>
              <w:t>. Въртящ момент: не по малко от 250 Nm/1750 rpm. EURO VI. Комбиниран разход на гориво не по-голям от 5,0 1/100 km. Разстояние между най-ниската част на автомобила (предната или задната ос) и земната по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върхност (пътен просвет) не по-малко от 205 mm. Междуосие не по-малко от 2 670 mm. Дължина  не по-малко от 4 310 mm. Широчина на купето (без огледалата) не по-малко от 1 800 mm. Височина на купето не по-малко от 1 620 mm. Минимум 6 степенна механична скоро</w:t>
            </w:r>
            <w:r>
              <w:rPr>
                <w:rFonts w:ascii="Trebuchet MS" w:eastAsia="Times New Roman" w:hAnsi="Trebuchet MS" w:cs="Times New Roman"/>
                <w:lang w:eastAsia="bg-BG"/>
              </w:rPr>
              <w:t>стна кутия. Климатик.</w:t>
            </w:r>
          </w:p>
        </w:tc>
      </w:tr>
    </w:tbl>
    <w:p w:rsidR="00881B46" w:rsidRDefault="00881B46">
      <w:pPr>
        <w:jc w:val="both"/>
        <w:rPr>
          <w:rFonts w:ascii="Trebuchet MS" w:hAnsi="Trebuchet MS" w:cs="Times New Roman"/>
          <w:b/>
        </w:rPr>
      </w:pPr>
    </w:p>
    <w:p w:rsidR="00881B46" w:rsidRDefault="006C028B">
      <w:pPr>
        <w:pStyle w:val="Default"/>
        <w:ind w:firstLine="708"/>
        <w:jc w:val="both"/>
        <w:rPr>
          <w:rFonts w:cs="Times New Roman"/>
          <w:sz w:val="22"/>
          <w:szCs w:val="22"/>
          <w:lang w:val="bg-BG"/>
        </w:rPr>
      </w:pPr>
      <w:r>
        <w:rPr>
          <w:rFonts w:cs="Times New Roman"/>
          <w:sz w:val="22"/>
          <w:szCs w:val="22"/>
          <w:lang w:val="bg-BG"/>
        </w:rPr>
        <w:t xml:space="preserve">Участникът, избран за Изпълнител, следва да осигури ползването на оторизиран от производителя сервиз с необходимия капацитет и кадрова обезпеченост за комплексно гаранционно поддържане на </w:t>
      </w:r>
      <w:r>
        <w:rPr>
          <w:rFonts w:cs="Times New Roman"/>
          <w:color w:val="auto"/>
          <w:sz w:val="22"/>
          <w:szCs w:val="22"/>
          <w:lang w:val="bg-BG"/>
        </w:rPr>
        <w:t>предлаганите високопроходими автомобили</w:t>
      </w:r>
      <w:r>
        <w:rPr>
          <w:rFonts w:cs="Times New Roman"/>
          <w:sz w:val="22"/>
          <w:szCs w:val="22"/>
          <w:lang w:val="bg-BG"/>
        </w:rPr>
        <w:t xml:space="preserve">, </w:t>
      </w:r>
      <w:r>
        <w:rPr>
          <w:rFonts w:cs="Times New Roman"/>
          <w:sz w:val="22"/>
          <w:szCs w:val="22"/>
          <w:lang w:val="bg-BG"/>
        </w:rPr>
        <w:t>включително и за всички техни части, които попадат в обхвата на гаранцията.</w:t>
      </w:r>
    </w:p>
    <w:p w:rsidR="00881B46" w:rsidRDefault="006C028B">
      <w:pPr>
        <w:pStyle w:val="Default"/>
        <w:ind w:firstLine="708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sz w:val="22"/>
          <w:szCs w:val="22"/>
          <w:lang w:val="bg-BG"/>
        </w:rPr>
        <w:t>Участникът, избран за Изпълнител, следва да осигури пълно гаранционно обслужване за период, предложен от него в техническото му предложение, но не по-малко от 36 месеца или 100 000</w:t>
      </w:r>
      <w:r>
        <w:rPr>
          <w:rFonts w:cs="Times New Roman"/>
          <w:sz w:val="22"/>
          <w:szCs w:val="22"/>
          <w:lang w:val="bg-BG"/>
        </w:rPr>
        <w:t xml:space="preserve"> км пробег,</w:t>
      </w:r>
      <w:r>
        <w:rPr>
          <w:sz w:val="22"/>
          <w:szCs w:val="22"/>
          <w:lang w:val="bg-BG"/>
        </w:rPr>
        <w:t xml:space="preserve"> </w:t>
      </w:r>
      <w:r>
        <w:rPr>
          <w:rFonts w:cs="Times New Roman"/>
          <w:sz w:val="22"/>
          <w:szCs w:val="22"/>
          <w:lang w:val="bg-BG"/>
        </w:rPr>
        <w:t xml:space="preserve">което бъде изпълнено първо, считано от датата на </w:t>
      </w:r>
      <w:r>
        <w:rPr>
          <w:rFonts w:cs="Times New Roman"/>
          <w:color w:val="auto"/>
          <w:sz w:val="22"/>
          <w:szCs w:val="22"/>
          <w:lang w:val="bg-BG"/>
        </w:rPr>
        <w:t>подписване на приемо-предавателен протокол за извършената доставка, при стриктно спазване на инструкциите за експлоатация.</w:t>
      </w:r>
    </w:p>
    <w:p w:rsidR="00881B46" w:rsidRDefault="006C028B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>Това обстоятелство се доказва с представяне на списък на оторизираните о</w:t>
      </w:r>
      <w:r>
        <w:rPr>
          <w:rFonts w:cs="Times New Roman"/>
          <w:color w:val="auto"/>
          <w:sz w:val="22"/>
          <w:szCs w:val="22"/>
          <w:lang w:val="bg-BG"/>
        </w:rPr>
        <w:t>т производителя или неговия официален представител сервизи, издаден от производителя или неговия официален представител. Изискуемият документ се представя към техническото предложение на участниците и става неразделна част от него.</w:t>
      </w:r>
    </w:p>
    <w:p w:rsidR="00881B46" w:rsidRDefault="006C028B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>Всеки участник в процеду</w:t>
      </w:r>
      <w:r>
        <w:rPr>
          <w:rFonts w:cs="Times New Roman"/>
          <w:color w:val="auto"/>
          <w:sz w:val="22"/>
          <w:szCs w:val="22"/>
          <w:lang w:val="bg-BG"/>
        </w:rPr>
        <w:t>рата следва да предостави към техническото си предложение проспекти и/или каталози, и/или скици, и/или брошури или др. материали, представящи характеристиките на предлаганите автомобили на български език.</w:t>
      </w:r>
    </w:p>
    <w:sectPr w:rsidR="00881B4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B46" w:rsidRDefault="006C028B">
      <w:pPr>
        <w:spacing w:after="0" w:line="240" w:lineRule="auto"/>
      </w:pPr>
      <w:r>
        <w:separator/>
      </w:r>
    </w:p>
  </w:endnote>
  <w:endnote w:type="continuationSeparator" w:id="0">
    <w:p w:rsidR="00881B46" w:rsidRDefault="006C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B46" w:rsidRDefault="006C028B">
    <w:pPr>
      <w:pStyle w:val="a7"/>
      <w:jc w:val="center"/>
    </w:pPr>
    <w:r>
      <w:rPr>
        <w:rFonts w:ascii="Trebuchet MS" w:hAnsi="Trebuchet MS"/>
        <w:noProof/>
        <w:sz w:val="18"/>
        <w:szCs w:val="18"/>
        <w:lang w:eastAsia="bg-BG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81B46" w:rsidRDefault="006C028B">
    <w:pPr>
      <w:pStyle w:val="a7"/>
      <w:jc w:val="center"/>
      <w:rPr>
        <w:rFonts w:ascii="Trebuchet MS" w:hAnsi="Trebuchet MS"/>
        <w:sz w:val="18"/>
        <w:szCs w:val="18"/>
      </w:rPr>
    </w:pPr>
    <w:hyperlink r:id="rId2" w:history="1">
      <w:r>
        <w:rPr>
          <w:rStyle w:val="a9"/>
          <w:rFonts w:ascii="Trebuchet MS" w:hAnsi="Trebuchet MS"/>
          <w:sz w:val="18"/>
          <w:szCs w:val="18"/>
        </w:rPr>
        <w:t>www.Interregrobg.eu</w:t>
      </w:r>
    </w:hyperlink>
    <w:r>
      <w:rPr>
        <w:rFonts w:ascii="Trebuchet MS" w:hAnsi="Trebuchet MS"/>
        <w:sz w:val="18"/>
        <w:szCs w:val="18"/>
      </w:rPr>
      <w:t xml:space="preserve"> </w:t>
    </w:r>
  </w:p>
  <w:p w:rsidR="00881B46" w:rsidRDefault="006C028B">
    <w:pPr>
      <w:pStyle w:val="a7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трансграничен регион Кълъраш – Добрич“(ROBG-415)</w:t>
    </w:r>
  </w:p>
  <w:p w:rsidR="00881B46" w:rsidRDefault="006C028B">
    <w:pPr>
      <w:pStyle w:val="a7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 xml:space="preserve">Съдържанието на този материал не представлява непременно официалната позиция на </w:t>
    </w:r>
    <w:r>
      <w:rPr>
        <w:rFonts w:ascii="Trebuchet MS" w:hAnsi="Trebuchet MS"/>
        <w:sz w:val="18"/>
        <w:szCs w:val="18"/>
      </w:rPr>
      <w:t>Европейския Съюз. Отговорност за съдържанието на този материал носят единствено нейните автори.</w:t>
    </w:r>
  </w:p>
  <w:p w:rsidR="00881B46" w:rsidRDefault="00881B46">
    <w:pPr>
      <w:pStyle w:val="a7"/>
      <w:jc w:val="center"/>
      <w:rPr>
        <w:rFonts w:ascii="Trebuchet MS" w:hAnsi="Trebuchet MS"/>
        <w:sz w:val="18"/>
        <w:szCs w:val="18"/>
        <w:lang w:val="en-US"/>
      </w:rPr>
    </w:pPr>
  </w:p>
  <w:p w:rsidR="00881B46" w:rsidRDefault="006C028B">
    <w:pPr>
      <w:pStyle w:val="a7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B46" w:rsidRDefault="006C028B">
      <w:pPr>
        <w:spacing w:after="0" w:line="240" w:lineRule="auto"/>
      </w:pPr>
      <w:r>
        <w:separator/>
      </w:r>
    </w:p>
  </w:footnote>
  <w:footnote w:type="continuationSeparator" w:id="0">
    <w:p w:rsidR="00881B46" w:rsidRDefault="006C02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B46" w:rsidRDefault="006C028B">
    <w:pPr>
      <w:pStyle w:val="a5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81B46" w:rsidRDefault="00881B46">
    <w:pPr>
      <w:pStyle w:val="a5"/>
      <w:rPr>
        <w:lang w:val="en-US"/>
      </w:rPr>
    </w:pPr>
  </w:p>
  <w:p w:rsidR="00881B46" w:rsidRDefault="00881B46">
    <w:pPr>
      <w:pStyle w:val="a5"/>
      <w:rPr>
        <w:lang w:val="en-US"/>
      </w:rPr>
    </w:pPr>
  </w:p>
  <w:p w:rsidR="00881B46" w:rsidRDefault="00881B46">
    <w:pPr>
      <w:pStyle w:val="a5"/>
      <w:rPr>
        <w:lang w:val="en-US"/>
      </w:rPr>
    </w:pPr>
  </w:p>
  <w:p w:rsidR="00881B46" w:rsidRDefault="00881B46">
    <w:pPr>
      <w:pStyle w:val="a5"/>
      <w:rPr>
        <w:lang w:val="en-US"/>
      </w:rPr>
    </w:pPr>
  </w:p>
  <w:p w:rsidR="00881B46" w:rsidRDefault="006C028B">
    <w:pPr>
      <w:pStyle w:val="a5"/>
      <w:jc w:val="right"/>
      <w:rPr>
        <w:rFonts w:ascii="Trebuchet MS" w:hAnsi="Trebuchet MS"/>
        <w:b/>
      </w:rPr>
    </w:pPr>
    <w:r>
      <w:rPr>
        <w:rFonts w:ascii="Trebuchet MS" w:hAnsi="Trebuchet MS"/>
        <w:b/>
        <w:lang w:val="en-US"/>
      </w:rPr>
      <w:t xml:space="preserve">I. </w:t>
    </w:r>
    <w:r>
      <w:rPr>
        <w:rFonts w:ascii="Trebuchet MS" w:hAnsi="Trebuchet MS"/>
        <w:b/>
      </w:rPr>
      <w:t>ТЕХНИЧЕСКИ СПЕЦИФИКАЦИИ</w:t>
    </w:r>
  </w:p>
  <w:p w:rsidR="00881B46" w:rsidRDefault="00881B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71C16"/>
    <w:multiLevelType w:val="hybridMultilevel"/>
    <w:tmpl w:val="CC488BB6"/>
    <w:lvl w:ilvl="0" w:tplc="9D5679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396F03"/>
    <w:multiLevelType w:val="hybridMultilevel"/>
    <w:tmpl w:val="54DCD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B46"/>
    <w:rsid w:val="006C028B"/>
    <w:rsid w:val="0088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5">
    <w:name w:val="header"/>
    <w:aliases w:val="(17) EPR Header,Знак Знак"/>
    <w:basedOn w:val="a"/>
    <w:link w:val="a6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aliases w:val="(17) EPR Header Знак,Знак Знак Знак"/>
    <w:basedOn w:val="a0"/>
    <w:link w:val="a5"/>
    <w:uiPriority w:val="99"/>
    <w:rPr>
      <w:lang w:val="bg-BG"/>
    </w:rPr>
  </w:style>
  <w:style w:type="paragraph" w:styleId="a7">
    <w:name w:val="footer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Pr>
      <w:lang w:val="bg-BG"/>
    </w:rPr>
  </w:style>
  <w:style w:type="character" w:styleId="a9">
    <w:name w:val="Hyperlink"/>
    <w:basedOn w:val="a0"/>
    <w:unhideWhenUsed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C0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C028B"/>
    <w:rPr>
      <w:rFonts w:ascii="Tahoma" w:hAnsi="Tahoma" w:cs="Tahoma"/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5">
    <w:name w:val="header"/>
    <w:aliases w:val="(17) EPR Header,Знак Знак"/>
    <w:basedOn w:val="a"/>
    <w:link w:val="a6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aliases w:val="(17) EPR Header Знак,Знак Знак Знак"/>
    <w:basedOn w:val="a0"/>
    <w:link w:val="a5"/>
    <w:uiPriority w:val="99"/>
    <w:rPr>
      <w:lang w:val="bg-BG"/>
    </w:rPr>
  </w:style>
  <w:style w:type="paragraph" w:styleId="a7">
    <w:name w:val="footer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Pr>
      <w:lang w:val="bg-BG"/>
    </w:rPr>
  </w:style>
  <w:style w:type="character" w:styleId="a9">
    <w:name w:val="Hyperlink"/>
    <w:basedOn w:val="a0"/>
    <w:unhideWhenUsed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C0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C028B"/>
    <w:rPr>
      <w:rFonts w:ascii="Tahoma" w:hAnsi="Tahoma" w:cs="Tahoma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0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578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2020-02-25T14:46:00Z</dcterms:created>
  <dcterms:modified xsi:type="dcterms:W3CDTF">2020-04-01T12:48:00Z</dcterms:modified>
</cp:coreProperties>
</file>